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4F" w:rsidRPr="00991617" w:rsidRDefault="00E87B4F" w:rsidP="00E87B4F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附件</w:t>
      </w:r>
      <w:r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4</w:t>
      </w: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：</w:t>
      </w:r>
    </w:p>
    <w:p w:rsidR="00E87B4F" w:rsidRPr="009A357C" w:rsidRDefault="007E0EBA" w:rsidP="009A357C">
      <w:pPr>
        <w:pStyle w:val="a5"/>
        <w:spacing w:before="0" w:beforeAutospacing="0" w:after="0" w:afterAutospacing="0" w:line="560" w:lineRule="exact"/>
        <w:jc w:val="center"/>
        <w:rPr>
          <w:rFonts w:ascii="仿宋_GB2312" w:eastAsia="仿宋_GB2312" w:cs="方正大标宋简体"/>
          <w:bCs/>
          <w:kern w:val="2"/>
          <w:sz w:val="30"/>
          <w:szCs w:val="30"/>
        </w:rPr>
      </w:pPr>
      <w:r w:rsidRPr="007E0EBA">
        <w:rPr>
          <w:rFonts w:ascii="仿宋_GB2312" w:eastAsia="仿宋_GB2312" w:hAnsi="Times New Roman" w:cs="Times New Roman" w:hint="eastAsia"/>
          <w:bCs/>
          <w:kern w:val="2"/>
          <w:sz w:val="30"/>
          <w:szCs w:val="30"/>
        </w:rPr>
        <w:t>2014年“创青春”全国大学生创业大赛终审决赛答辩规则</w:t>
      </w:r>
      <w:bookmarkStart w:id="0" w:name="_GoBack"/>
      <w:bookmarkEnd w:id="0"/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1.在公开答辩前，评委将进行书面评审，审阅参赛项目计划书或项目运营报告（创业实践挑战赛），并进行书面评审评分。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2.组委会将为每个评审小组提供一个专用答辩室，每场答辩前5分钟，联络员将公开答辩评审评分表交给各个评委，答辩时评委将以项目计划书或项目运营报告（创业实践挑战赛）文本作参考。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3.参赛项目团队应准时到达指定答辩室，凡无故迟到15分钟以上者，取消答辩资格。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4.组委会将提前通知参加公开答辩项目团队，各团队通过抽签决定出场顺序，并按组委会规定时间准时参加公开答辩彩排。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5.公开答辩将对外开放，届时凭事先发放的观摩票面向社会各界人士开放观摩答辩过程。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6.组委会提醒各团队注意保护创业项目的知识产权与商业机密，对因公开答辩可能引起的技术或商业泄密，组委会概不负责。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7.公开答辩用电脑及数字投影设备由组委会提供，各参赛项目团队须自备U盘，准备答辩用演示文稿及所需软件，并在答辩彩排时复制、安装到答辩用电脑上（对电脑确有特殊要求的参赛项目团队可自备）。同时允许参赛项目团队携带必要的文字、图片、产品作品等可用于辅助说明的器材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8.公开答辩时每场次答辩一件作品，每场次限时20分钟，团队陈述10分钟，自由问答10分钟，提前结束者不扣分。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lastRenderedPageBreak/>
        <w:t>9.每场答辩结束，将安排5分钟左右时间，由评委对参赛项目进行点评。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10.每个参赛项目团队参加公开答辩人数不得超过4名，自行决定公开答辩时团队成员的分工，参加答辩的团队成员原则上都需要上场亮相。答辩需由参赛项目团队独立完成，各高校代表队领队、指导教师不得以任何形式向参赛项目团队进行提示或帮助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11.答辩时组委会联络员将向评委、参赛项目团队提供一切必要的协助。</w:t>
      </w:r>
    </w:p>
    <w:p w:rsidR="00E87B4F" w:rsidRPr="00991617" w:rsidRDefault="00E87B4F" w:rsidP="00E87B4F">
      <w:pPr>
        <w:widowControl/>
        <w:adjustRightInd w:val="0"/>
        <w:snapToGrid w:val="0"/>
        <w:spacing w:line="560" w:lineRule="exact"/>
        <w:ind w:firstLineChars="196" w:firstLine="588"/>
        <w:jc w:val="left"/>
        <w:rPr>
          <w:rFonts w:ascii="仿宋_GB2312" w:eastAsia="仿宋_GB2312" w:hAnsi="Times New Roman" w:cs="Times New Roman"/>
          <w:bCs/>
          <w:color w:val="000000"/>
          <w:sz w:val="30"/>
          <w:szCs w:val="30"/>
        </w:rPr>
      </w:pPr>
      <w:r w:rsidRPr="00991617">
        <w:rPr>
          <w:rFonts w:ascii="仿宋_GB2312" w:eastAsia="仿宋_GB2312" w:hAnsi="Times New Roman" w:cs="Times New Roman" w:hint="eastAsia"/>
          <w:bCs/>
          <w:color w:val="000000"/>
          <w:sz w:val="30"/>
          <w:szCs w:val="30"/>
        </w:rPr>
        <w:t>12.参赛项目团队如对相关事宜有疑问，可事先垂询组委会。</w:t>
      </w:r>
    </w:p>
    <w:p w:rsidR="00222D89" w:rsidRPr="00E87B4F" w:rsidRDefault="00222D89"/>
    <w:sectPr w:rsidR="00222D89" w:rsidRPr="00E87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BA" w:rsidRDefault="001151BA" w:rsidP="00E87B4F">
      <w:r>
        <w:separator/>
      </w:r>
    </w:p>
  </w:endnote>
  <w:endnote w:type="continuationSeparator" w:id="0">
    <w:p w:rsidR="001151BA" w:rsidRDefault="001151BA" w:rsidP="00E8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BA" w:rsidRDefault="001151BA" w:rsidP="00E87B4F">
      <w:r>
        <w:separator/>
      </w:r>
    </w:p>
  </w:footnote>
  <w:footnote w:type="continuationSeparator" w:id="0">
    <w:p w:rsidR="001151BA" w:rsidRDefault="001151BA" w:rsidP="00E87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B7"/>
    <w:rsid w:val="001151BA"/>
    <w:rsid w:val="00222D89"/>
    <w:rsid w:val="00521FB7"/>
    <w:rsid w:val="007E0EBA"/>
    <w:rsid w:val="009A357C"/>
    <w:rsid w:val="00B964FF"/>
    <w:rsid w:val="00E8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B4F"/>
    <w:rPr>
      <w:sz w:val="18"/>
      <w:szCs w:val="18"/>
    </w:rPr>
  </w:style>
  <w:style w:type="paragraph" w:styleId="a5">
    <w:name w:val="Normal (Web)"/>
    <w:aliases w:val="普通 (Web)"/>
    <w:basedOn w:val="a"/>
    <w:uiPriority w:val="99"/>
    <w:rsid w:val="00E87B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4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B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B4F"/>
    <w:rPr>
      <w:sz w:val="18"/>
      <w:szCs w:val="18"/>
    </w:rPr>
  </w:style>
  <w:style w:type="paragraph" w:styleId="a5">
    <w:name w:val="Normal (Web)"/>
    <w:aliases w:val="普通 (Web)"/>
    <w:basedOn w:val="a"/>
    <w:uiPriority w:val="99"/>
    <w:rsid w:val="00E87B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http://sdwm.org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深度完美技术论坛</dc:creator>
  <cp:keywords/>
  <dc:description/>
  <cp:lastModifiedBy>深度完美技术论坛</cp:lastModifiedBy>
  <cp:revision>4</cp:revision>
  <dcterms:created xsi:type="dcterms:W3CDTF">2014-09-29T07:03:00Z</dcterms:created>
  <dcterms:modified xsi:type="dcterms:W3CDTF">2014-09-29T07:08:00Z</dcterms:modified>
</cp:coreProperties>
</file>